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40B6" w14:textId="54825200" w:rsidR="00E82E77" w:rsidRPr="000D1E40" w:rsidRDefault="00A730CE" w:rsidP="007A3C90">
      <w:pPr>
        <w:shd w:val="clear" w:color="auto" w:fill="FFFFFF"/>
        <w:jc w:val="center"/>
        <w:rPr>
          <w:rFonts w:ascii="Source Sans Pro" w:eastAsia="Times New Roman" w:hAnsi="Source Sans Pro" w:cstheme="minorHAnsi"/>
          <w:color w:val="auto"/>
          <w:sz w:val="28"/>
          <w:szCs w:val="28"/>
          <w:lang w:val="en-US"/>
        </w:rPr>
      </w:pPr>
      <w:r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  <w:t>Mumbai</w:t>
      </w:r>
      <w:r w:rsidR="00E82E77" w:rsidRPr="000D1E40"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  <w:t xml:space="preserve"> International Emigrati</w:t>
      </w:r>
      <w:r w:rsidR="00130DD9" w:rsidRPr="000D1E40"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  <w:t>on and Luxury Property Expo 2019</w:t>
      </w:r>
    </w:p>
    <w:p w14:paraId="2252321A" w14:textId="2B0F1DDA" w:rsidR="00E82E77" w:rsidRPr="00EE55E3" w:rsidRDefault="00C13069" w:rsidP="007A3C90">
      <w:pPr>
        <w:jc w:val="center"/>
        <w:rPr>
          <w:rFonts w:asciiTheme="minorHAnsi" w:hAnsiTheme="minorHAnsi" w:cstheme="minorHAnsi"/>
          <w:color w:val="auto"/>
        </w:rPr>
      </w:pPr>
      <w:r w:rsidRPr="000D1E40">
        <w:rPr>
          <w:rFonts w:ascii="Source Sans Pro" w:hAnsi="Source Sans Pro" w:cstheme="minorHAnsi"/>
          <w:color w:val="auto"/>
          <w:lang w:val="en-US"/>
        </w:rPr>
        <w:t xml:space="preserve">An </w:t>
      </w:r>
      <w:r w:rsidR="00413041" w:rsidRPr="000D1E40">
        <w:rPr>
          <w:rFonts w:ascii="Source Sans Pro" w:hAnsi="Source Sans Pro" w:cstheme="minorHAnsi"/>
          <w:color w:val="auto"/>
          <w:lang w:val="en-US"/>
        </w:rPr>
        <w:t xml:space="preserve">exhibition on investment immigration and international high-end real estate  </w:t>
      </w:r>
    </w:p>
    <w:p w14:paraId="4658DAD3" w14:textId="19C6675E" w:rsidR="00943649" w:rsidRPr="000D1E40" w:rsidRDefault="00943649" w:rsidP="00D732E4">
      <w:pPr>
        <w:shd w:val="clear" w:color="auto" w:fill="FFFFFF"/>
        <w:jc w:val="both"/>
        <w:rPr>
          <w:rFonts w:ascii="Source Sans Pro" w:eastAsia="Times New Roman" w:hAnsi="Source Sans Pro" w:cstheme="minorHAnsi"/>
          <w:color w:val="auto"/>
          <w:lang w:val="en-US"/>
        </w:rPr>
      </w:pPr>
    </w:p>
    <w:p w14:paraId="59CFA026" w14:textId="0FBF4997" w:rsidR="001022BC" w:rsidRDefault="00FC7396" w:rsidP="00F96465">
      <w:pPr>
        <w:jc w:val="both"/>
        <w:rPr>
          <w:rFonts w:ascii="Source Sans Pro" w:hAnsi="Source Sans Pro" w:cstheme="minorHAnsi"/>
          <w:color w:val="auto"/>
          <w:lang w:val="en-US"/>
        </w:rPr>
      </w:pPr>
      <w:hyperlink r:id="rId8" w:history="1">
        <w:r w:rsidR="00186B15" w:rsidRPr="00A45201">
          <w:rPr>
            <w:rStyle w:val="a8"/>
            <w:rFonts w:ascii="Source Sans Pro" w:hAnsi="Source Sans Pro" w:cstheme="minorHAnsi"/>
            <w:b/>
            <w:lang w:val="en-US"/>
          </w:rPr>
          <w:t xml:space="preserve">The </w:t>
        </w:r>
        <w:r w:rsidR="00A730CE" w:rsidRPr="00A45201">
          <w:rPr>
            <w:rStyle w:val="a8"/>
            <w:rFonts w:ascii="Source Sans Pro" w:hAnsi="Source Sans Pro" w:cstheme="minorHAnsi"/>
            <w:b/>
            <w:lang w:val="en-US"/>
          </w:rPr>
          <w:t>Mumbai</w:t>
        </w:r>
        <w:r w:rsidR="00E82E77" w:rsidRPr="00A45201">
          <w:rPr>
            <w:rStyle w:val="a8"/>
            <w:rFonts w:ascii="Source Sans Pro" w:hAnsi="Source Sans Pro" w:cstheme="minorHAnsi"/>
            <w:b/>
            <w:lang w:val="en-US"/>
          </w:rPr>
          <w:t xml:space="preserve"> International Emigration and Luxury </w:t>
        </w:r>
        <w:r w:rsidR="00130DD9" w:rsidRPr="00A45201">
          <w:rPr>
            <w:rStyle w:val="a8"/>
            <w:rFonts w:ascii="Source Sans Pro" w:hAnsi="Source Sans Pro" w:cstheme="minorHAnsi"/>
            <w:b/>
            <w:lang w:val="en-US"/>
          </w:rPr>
          <w:t>Property Expo 2019</w:t>
        </w:r>
      </w:hyperlink>
      <w:r w:rsidR="001022BC" w:rsidRPr="000D1E40">
        <w:rPr>
          <w:rFonts w:ascii="Source Sans Pro" w:hAnsi="Source Sans Pro" w:cstheme="minorHAnsi"/>
          <w:color w:val="auto"/>
          <w:lang w:val="en-US"/>
        </w:rPr>
        <w:t xml:space="preserve"> </w:t>
      </w:r>
      <w:r w:rsidR="008A142B" w:rsidRPr="000D1E40">
        <w:rPr>
          <w:rFonts w:ascii="Source Sans Pro" w:hAnsi="Source Sans Pro" w:cstheme="minorHAnsi"/>
          <w:color w:val="auto"/>
          <w:lang w:val="en-US"/>
        </w:rPr>
        <w:t xml:space="preserve">is </w:t>
      </w:r>
      <w:r w:rsidR="00A730CE">
        <w:rPr>
          <w:rFonts w:ascii="Source Sans Pro" w:hAnsi="Source Sans Pro" w:cstheme="minorHAnsi"/>
          <w:color w:val="auto"/>
          <w:lang w:val="en-US"/>
        </w:rPr>
        <w:t>a large-scale conference and</w:t>
      </w:r>
      <w:r w:rsidR="00C13069" w:rsidRPr="000D1E40">
        <w:rPr>
          <w:rFonts w:ascii="Source Sans Pro" w:hAnsi="Source Sans Pro" w:cstheme="minorHAnsi"/>
          <w:color w:val="auto"/>
          <w:lang w:val="en-US"/>
        </w:rPr>
        <w:t xml:space="preserve"> </w:t>
      </w:r>
      <w:r w:rsidR="000135EA">
        <w:rPr>
          <w:rFonts w:ascii="Source Sans Pro" w:hAnsi="Source Sans Pro" w:cstheme="minorHAnsi"/>
          <w:color w:val="auto"/>
          <w:lang w:val="en-US"/>
        </w:rPr>
        <w:t xml:space="preserve">exhibition </w:t>
      </w:r>
      <w:r w:rsidR="007D75BE">
        <w:rPr>
          <w:rFonts w:ascii="Source Sans Pro" w:hAnsi="Source Sans Pro"/>
          <w:color w:val="auto"/>
          <w:lang w:val="en-US"/>
        </w:rPr>
        <w:t>was</w:t>
      </w:r>
      <w:r w:rsidR="000135EA">
        <w:rPr>
          <w:rFonts w:ascii="Source Sans Pro" w:hAnsi="Source Sans Pro"/>
          <w:color w:val="auto"/>
          <w:lang w:val="en-US"/>
        </w:rPr>
        <w:t xml:space="preserve"> ho</w:t>
      </w:r>
      <w:r w:rsidR="0060508A">
        <w:rPr>
          <w:rFonts w:ascii="Source Sans Pro" w:hAnsi="Source Sans Pro"/>
          <w:color w:val="auto"/>
          <w:lang w:val="en-US"/>
        </w:rPr>
        <w:t>ld 16</w:t>
      </w:r>
      <w:r w:rsidR="0060508A" w:rsidRPr="0060508A">
        <w:rPr>
          <w:rFonts w:asciiTheme="minorHAnsi" w:hAnsiTheme="minorHAnsi"/>
          <w:color w:val="auto"/>
          <w:lang w:val="en-US"/>
        </w:rPr>
        <w:t xml:space="preserve"> </w:t>
      </w:r>
      <w:r w:rsidR="0060508A">
        <w:rPr>
          <w:rFonts w:asciiTheme="minorHAnsi" w:hAnsiTheme="minorHAnsi"/>
          <w:color w:val="auto"/>
          <w:lang w:val="en-US"/>
        </w:rPr>
        <w:t xml:space="preserve">and </w:t>
      </w:r>
      <w:r w:rsidR="00A730CE">
        <w:rPr>
          <w:rFonts w:ascii="Source Sans Pro" w:hAnsi="Source Sans Pro"/>
          <w:color w:val="auto"/>
          <w:lang w:val="en-US"/>
        </w:rPr>
        <w:t>17</w:t>
      </w:r>
      <w:r w:rsidR="007A5E46">
        <w:rPr>
          <w:rFonts w:ascii="Source Sans Pro" w:hAnsi="Source Sans Pro"/>
          <w:color w:val="auto"/>
          <w:lang w:val="en-US"/>
        </w:rPr>
        <w:t xml:space="preserve"> January 2019 at The St. Regis Mumbai, India</w:t>
      </w:r>
      <w:r w:rsidR="001022BC" w:rsidRPr="000D1E40">
        <w:rPr>
          <w:rFonts w:ascii="Source Sans Pro" w:hAnsi="Source Sans Pro" w:cstheme="minorHAnsi"/>
          <w:color w:val="auto"/>
          <w:lang w:val="en-US"/>
        </w:rPr>
        <w:t>.</w:t>
      </w:r>
    </w:p>
    <w:p w14:paraId="5173896F" w14:textId="586C5910" w:rsidR="009376D2" w:rsidRPr="000135EA" w:rsidRDefault="009376D2" w:rsidP="00F96465">
      <w:pPr>
        <w:jc w:val="both"/>
        <w:rPr>
          <w:rFonts w:asciiTheme="minorHAnsi" w:hAnsiTheme="minorHAnsi" w:cstheme="minorHAnsi"/>
          <w:color w:val="auto"/>
        </w:rPr>
      </w:pPr>
    </w:p>
    <w:p w14:paraId="4FA1B0AD" w14:textId="55CB39A8" w:rsidR="009376D2" w:rsidRDefault="00B51294" w:rsidP="00F96465">
      <w:pPr>
        <w:jc w:val="both"/>
        <w:rPr>
          <w:rFonts w:ascii="Source Sans Pro" w:eastAsia="Times New Roman" w:hAnsi="Source Sans Pro" w:cs="Times New Roman"/>
          <w:lang w:val="en-US"/>
        </w:rPr>
      </w:pPr>
      <w:r w:rsidRPr="00B51294">
        <w:rPr>
          <w:rFonts w:ascii="Source Sans Pro" w:eastAsia="Times New Roman" w:hAnsi="Source Sans Pro" w:cs="Times New Roman"/>
          <w:lang w:val="en-US"/>
        </w:rPr>
        <w:t>The Expo</w:t>
      </w:r>
      <w:r w:rsidR="000135EA">
        <w:rPr>
          <w:rFonts w:ascii="Source Sans Pro" w:eastAsia="Times New Roman" w:hAnsi="Source Sans Pro" w:cs="Times New Roman"/>
          <w:lang w:val="en-US"/>
        </w:rPr>
        <w:t xml:space="preserve"> combined</w:t>
      </w:r>
      <w:r w:rsidR="009376D2" w:rsidRPr="00B51294">
        <w:rPr>
          <w:rFonts w:ascii="Source Sans Pro" w:eastAsia="Times New Roman" w:hAnsi="Source Sans Pro" w:cs="Times New Roman"/>
          <w:lang w:val="en-US"/>
        </w:rPr>
        <w:t xml:space="preserve"> a conference on the first day (16 January), with an exhibition, workshops, and networking opp</w:t>
      </w:r>
      <w:r w:rsidRPr="00B51294">
        <w:rPr>
          <w:rFonts w:ascii="Source Sans Pro" w:eastAsia="Times New Roman" w:hAnsi="Source Sans Pro" w:cs="Times New Roman"/>
          <w:lang w:val="en-US"/>
        </w:rPr>
        <w:t>ortunities on the second day (17 January</w:t>
      </w:r>
      <w:r w:rsidR="009376D2" w:rsidRPr="00B51294">
        <w:rPr>
          <w:rFonts w:ascii="Source Sans Pro" w:eastAsia="Times New Roman" w:hAnsi="Source Sans Pro" w:cs="Times New Roman"/>
          <w:lang w:val="en-US"/>
        </w:rPr>
        <w:t>).</w:t>
      </w:r>
    </w:p>
    <w:p w14:paraId="6CE9421A" w14:textId="2B73EA41" w:rsidR="009376D2" w:rsidRDefault="009376D2" w:rsidP="00F96465">
      <w:pPr>
        <w:jc w:val="both"/>
        <w:rPr>
          <w:rFonts w:ascii="Source Sans Pro" w:hAnsi="Source Sans Pro" w:cstheme="minorHAnsi"/>
          <w:color w:val="auto"/>
          <w:lang w:val="en-US"/>
        </w:rPr>
      </w:pPr>
    </w:p>
    <w:p w14:paraId="4944FEE6" w14:textId="6E3410C7" w:rsidR="00C83695" w:rsidRPr="000D1E40" w:rsidRDefault="009369ED" w:rsidP="00F96465">
      <w:pPr>
        <w:jc w:val="both"/>
        <w:rPr>
          <w:rFonts w:ascii="Source Sans Pro" w:eastAsia="Times New Roman" w:hAnsi="Source Sans Pro" w:cstheme="minorHAnsi"/>
          <w:b/>
          <w:color w:val="auto"/>
          <w:lang w:val="en-US"/>
        </w:rPr>
      </w:pPr>
      <w:r>
        <w:rPr>
          <w:rFonts w:ascii="Source Sans Pro" w:eastAsia="Times New Roman" w:hAnsi="Source Sans Pro" w:cstheme="minorHAnsi"/>
          <w:b/>
          <w:color w:val="auto"/>
          <w:lang w:val="en-US"/>
        </w:rPr>
        <w:t>Exhibitors and a</w:t>
      </w:r>
      <w:r w:rsidR="00C83695" w:rsidRPr="000D1E40">
        <w:rPr>
          <w:rFonts w:ascii="Source Sans Pro" w:eastAsia="Times New Roman" w:hAnsi="Source Sans Pro" w:cstheme="minorHAnsi"/>
          <w:b/>
          <w:color w:val="auto"/>
          <w:lang w:val="en-US"/>
        </w:rPr>
        <w:t xml:space="preserve">ttendees </w:t>
      </w:r>
    </w:p>
    <w:p w14:paraId="76F3A27B" w14:textId="77777777" w:rsidR="00C83695" w:rsidRDefault="00C83695" w:rsidP="00F96465">
      <w:pPr>
        <w:jc w:val="both"/>
        <w:rPr>
          <w:rFonts w:ascii="Source Sans Pro" w:hAnsi="Source Sans Pro" w:cstheme="minorHAnsi"/>
          <w:color w:val="auto"/>
          <w:lang w:val="en-US"/>
        </w:rPr>
      </w:pPr>
    </w:p>
    <w:p w14:paraId="53AC765E" w14:textId="38BEE399" w:rsidR="00B31A56" w:rsidRPr="00B31A56" w:rsidRDefault="000135EA" w:rsidP="00F96465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The event brought</w:t>
      </w:r>
      <w:r w:rsidR="00C83695" w:rsidRPr="00510F5B">
        <w:rPr>
          <w:rFonts w:ascii="Source Sans Pro" w:hAnsi="Source Sans Pro"/>
          <w:lang w:val="en-US"/>
        </w:rPr>
        <w:t xml:space="preserve"> together high-end real estate market prof</w:t>
      </w:r>
      <w:r>
        <w:rPr>
          <w:rFonts w:ascii="Source Sans Pro" w:hAnsi="Source Sans Pro"/>
          <w:lang w:val="en-US"/>
        </w:rPr>
        <w:t xml:space="preserve">essionals. Our visitors included </w:t>
      </w:r>
      <w:r w:rsidR="00C83695" w:rsidRPr="00510F5B">
        <w:rPr>
          <w:rFonts w:ascii="Source Sans Pro" w:hAnsi="Source Sans Pro"/>
          <w:lang w:val="en-US"/>
        </w:rPr>
        <w:t xml:space="preserve">private individuals interested in immigration and </w:t>
      </w:r>
      <w:r w:rsidR="008D5AC6">
        <w:rPr>
          <w:rFonts w:ascii="Source Sans Pro" w:hAnsi="Source Sans Pro"/>
          <w:lang w:val="en-US"/>
        </w:rPr>
        <w:t xml:space="preserve">acquisition of </w:t>
      </w:r>
      <w:r w:rsidR="00D5500E">
        <w:rPr>
          <w:rFonts w:ascii="Source Sans Pro" w:hAnsi="Source Sans Pro"/>
          <w:lang w:val="en-US"/>
        </w:rPr>
        <w:t>upscale</w:t>
      </w:r>
      <w:r w:rsidR="00C83695" w:rsidRPr="00510F5B">
        <w:rPr>
          <w:rFonts w:ascii="Source Sans Pro" w:hAnsi="Source Sans Pro"/>
          <w:lang w:val="en-US"/>
        </w:rPr>
        <w:t xml:space="preserve"> </w:t>
      </w:r>
      <w:r w:rsidR="008D5AC6">
        <w:rPr>
          <w:rFonts w:ascii="Source Sans Pro" w:hAnsi="Source Sans Pro"/>
          <w:lang w:val="en-US"/>
        </w:rPr>
        <w:t>properties</w:t>
      </w:r>
      <w:r w:rsidR="00C83695" w:rsidRPr="00510F5B">
        <w:rPr>
          <w:rFonts w:ascii="Source Sans Pro" w:hAnsi="Source Sans Pro"/>
          <w:lang w:val="en-US"/>
        </w:rPr>
        <w:t>, international entrepreneurs</w:t>
      </w:r>
      <w:r w:rsidR="008D5AC6">
        <w:rPr>
          <w:rFonts w:ascii="Source Sans Pro" w:hAnsi="Source Sans Pro"/>
          <w:lang w:val="en-US"/>
        </w:rPr>
        <w:t>, home buyers</w:t>
      </w:r>
      <w:r w:rsidR="00C83695" w:rsidRPr="00510F5B">
        <w:rPr>
          <w:rFonts w:ascii="Source Sans Pro" w:hAnsi="Source Sans Pro"/>
          <w:lang w:val="en-US"/>
        </w:rPr>
        <w:t>, and prospective immigrants.</w:t>
      </w:r>
    </w:p>
    <w:p w14:paraId="7BE50AFF" w14:textId="18AE80ED" w:rsidR="00C83695" w:rsidRPr="00F96465" w:rsidRDefault="00C83695" w:rsidP="00F96465">
      <w:pPr>
        <w:jc w:val="both"/>
        <w:rPr>
          <w:rFonts w:ascii="Source Sans Pro" w:hAnsi="Source Sans Pro" w:cstheme="minorHAnsi"/>
          <w:color w:val="auto"/>
          <w:lang w:val="en-US"/>
        </w:rPr>
      </w:pPr>
      <w:r w:rsidRPr="000D1E40">
        <w:rPr>
          <w:rFonts w:ascii="Source Sans Pro" w:hAnsi="Source Sans Pro" w:cstheme="minorHAnsi"/>
          <w:color w:val="auto"/>
          <w:lang w:val="en-US"/>
        </w:rPr>
        <w:t xml:space="preserve"> </w:t>
      </w:r>
    </w:p>
    <w:p w14:paraId="63993666" w14:textId="70E6FA76" w:rsidR="00C83695" w:rsidRPr="000D1E40" w:rsidRDefault="00881BF0" w:rsidP="00F96465">
      <w:pPr>
        <w:jc w:val="both"/>
        <w:rPr>
          <w:rFonts w:ascii="Source Sans Pro" w:eastAsia="Times New Roman" w:hAnsi="Source Sans Pro" w:cstheme="minorHAnsi"/>
          <w:b/>
          <w:color w:val="auto"/>
          <w:lang w:val="en-US"/>
        </w:rPr>
      </w:pPr>
      <w:r>
        <w:rPr>
          <w:rFonts w:ascii="Source Sans Pro" w:eastAsia="Times New Roman" w:hAnsi="Source Sans Pro" w:cstheme="minorHAnsi"/>
          <w:b/>
          <w:color w:val="auto"/>
          <w:lang w:val="en-US"/>
        </w:rPr>
        <w:t>R</w:t>
      </w:r>
      <w:r w:rsidR="00C83695" w:rsidRPr="000D1E40">
        <w:rPr>
          <w:rFonts w:ascii="Source Sans Pro" w:eastAsia="Times New Roman" w:hAnsi="Source Sans Pro" w:cstheme="minorHAnsi"/>
          <w:b/>
          <w:color w:val="auto"/>
          <w:lang w:val="en-US"/>
        </w:rPr>
        <w:t>egular exhibitors</w:t>
      </w:r>
      <w:r w:rsidR="00690D3C">
        <w:rPr>
          <w:rFonts w:ascii="Source Sans Pro" w:eastAsia="Times New Roman" w:hAnsi="Source Sans Pro" w:cstheme="minorHAnsi"/>
          <w:b/>
          <w:color w:val="auto"/>
          <w:lang w:val="en-US"/>
        </w:rPr>
        <w:t xml:space="preserve"> </w:t>
      </w:r>
      <w:r>
        <w:rPr>
          <w:rFonts w:ascii="Source Sans Pro" w:eastAsia="Times New Roman" w:hAnsi="Source Sans Pro" w:cstheme="minorHAnsi"/>
          <w:b/>
          <w:color w:val="auto"/>
          <w:lang w:val="en-US"/>
        </w:rPr>
        <w:t xml:space="preserve">of the Mumbai IELP Expo </w:t>
      </w:r>
      <w:r w:rsidR="00690D3C">
        <w:rPr>
          <w:rFonts w:ascii="Source Sans Pro" w:eastAsia="Times New Roman" w:hAnsi="Source Sans Pro" w:cstheme="minorHAnsi"/>
          <w:b/>
          <w:color w:val="auto"/>
          <w:lang w:val="en-US"/>
        </w:rPr>
        <w:t>include</w:t>
      </w:r>
      <w:r w:rsidR="00C83695" w:rsidRPr="000D1E40">
        <w:rPr>
          <w:rFonts w:ascii="Source Sans Pro" w:eastAsia="Times New Roman" w:hAnsi="Source Sans Pro" w:cstheme="minorHAnsi"/>
          <w:b/>
          <w:color w:val="auto"/>
          <w:lang w:val="en-US"/>
        </w:rPr>
        <w:t>:</w:t>
      </w:r>
    </w:p>
    <w:p w14:paraId="07C8C16C" w14:textId="77777777" w:rsidR="00C83695" w:rsidRPr="000D1E40" w:rsidRDefault="00C83695" w:rsidP="00F96465">
      <w:pPr>
        <w:jc w:val="both"/>
        <w:rPr>
          <w:rFonts w:ascii="Source Sans Pro" w:eastAsia="Times New Roman" w:hAnsi="Source Sans Pro" w:cstheme="minorHAnsi"/>
          <w:b/>
          <w:color w:val="auto"/>
          <w:lang w:val="en-US"/>
        </w:rPr>
      </w:pPr>
    </w:p>
    <w:p w14:paraId="3BB101F5" w14:textId="0A23F30C" w:rsidR="00C83695" w:rsidRPr="000D1E40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0D1E40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Government agencies from 30 countries, including the USA, Canada, the EU (Spain, Cyprus, Malta etc.), the Caribbean (Antigua &amp; Barbuda, Dominica, St Kitts and Nevis)</w:t>
      </w:r>
      <w:r w:rsidR="00D02223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, and more;</w:t>
      </w:r>
    </w:p>
    <w:p w14:paraId="10A4F6EA" w14:textId="77777777" w:rsidR="00C83695" w:rsidRPr="004E3F5E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International associations, including FIABCI and the Investment Migration Council;</w:t>
      </w:r>
    </w:p>
    <w:p w14:paraId="23A1197F" w14:textId="77777777" w:rsidR="00C83695" w:rsidRPr="004E3F5E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Prominent immigration companies, including Henley&amp; Partners and CS Global Partners;</w:t>
      </w:r>
    </w:p>
    <w:p w14:paraId="765BD03C" w14:textId="77777777" w:rsidR="00C83695" w:rsidRPr="004E3F5E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Luxury real estate market leaders, including Sotheby’s Real Estate, Christie’s, and Knight Frank;</w:t>
      </w:r>
    </w:p>
    <w:p w14:paraId="3B50895B" w14:textId="77777777" w:rsidR="00C83695" w:rsidRPr="004E3F5E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 xml:space="preserve">Major personal financial consultancies, including EY, KPMG, PwC, and Deloitte; and </w:t>
      </w:r>
    </w:p>
    <w:p w14:paraId="73B67BCC" w14:textId="0FDF6508" w:rsidR="00F96465" w:rsidRPr="004A0E3F" w:rsidRDefault="00C83695" w:rsidP="00F96465">
      <w:pPr>
        <w:pStyle w:val="a7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</w:pP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O</w:t>
      </w:r>
      <w:r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t</w:t>
      </w:r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her leaders in the rel</w:t>
      </w:r>
      <w:bookmarkStart w:id="0" w:name="_GoBack"/>
      <w:bookmarkEnd w:id="0"/>
      <w:r w:rsidRPr="004E3F5E">
        <w:rPr>
          <w:rFonts w:ascii="Source Sans Pro" w:eastAsia="Times New Roman" w:hAnsi="Source Sans Pro" w:cstheme="minorHAnsi"/>
          <w:sz w:val="24"/>
          <w:szCs w:val="24"/>
          <w:lang w:val="en-US" w:eastAsia="ru-RU"/>
        </w:rPr>
        <w:t>ated fields.</w:t>
      </w:r>
    </w:p>
    <w:p w14:paraId="478684A4" w14:textId="77777777" w:rsidR="00F96465" w:rsidRDefault="00F96465" w:rsidP="00F96465">
      <w:pPr>
        <w:jc w:val="both"/>
        <w:rPr>
          <w:rFonts w:ascii="Source Sans Pro" w:eastAsia="Times New Roman" w:hAnsi="Source Sans Pro" w:cstheme="minorHAnsi"/>
          <w:b/>
          <w:lang w:val="en-US"/>
        </w:rPr>
      </w:pPr>
    </w:p>
    <w:p w14:paraId="2701012E" w14:textId="3EC7917D" w:rsidR="00F96465" w:rsidRDefault="00F96465" w:rsidP="00F96465">
      <w:pPr>
        <w:jc w:val="both"/>
        <w:rPr>
          <w:rFonts w:ascii="Source Sans Pro" w:eastAsia="Times New Roman" w:hAnsi="Source Sans Pro" w:cstheme="minorHAnsi"/>
          <w:b/>
          <w:lang w:val="en-US"/>
        </w:rPr>
      </w:pPr>
      <w:r w:rsidRPr="000614F0">
        <w:rPr>
          <w:rFonts w:ascii="Source Sans Pro" w:eastAsia="Times New Roman" w:hAnsi="Source Sans Pro" w:cstheme="minorHAnsi"/>
          <w:b/>
          <w:lang w:val="en-US"/>
        </w:rPr>
        <w:t>Why Mumbai</w:t>
      </w:r>
      <w:r w:rsidR="00690D3C">
        <w:rPr>
          <w:rFonts w:ascii="Source Sans Pro" w:eastAsia="Times New Roman" w:hAnsi="Source Sans Pro" w:cstheme="minorHAnsi"/>
          <w:b/>
          <w:lang w:val="en-US"/>
        </w:rPr>
        <w:t>?</w:t>
      </w:r>
    </w:p>
    <w:p w14:paraId="6C971B66" w14:textId="77777777" w:rsidR="00F96465" w:rsidRPr="00C83695" w:rsidRDefault="00F96465" w:rsidP="00F96465">
      <w:pPr>
        <w:jc w:val="both"/>
        <w:rPr>
          <w:rFonts w:ascii="Source Sans Pro" w:eastAsia="Times New Roman" w:hAnsi="Source Sans Pro" w:cstheme="minorHAnsi"/>
          <w:b/>
          <w:lang w:val="en-US"/>
        </w:rPr>
      </w:pPr>
    </w:p>
    <w:p w14:paraId="7C030226" w14:textId="77777777" w:rsidR="00F96465" w:rsidRPr="00C83695" w:rsidRDefault="00F96465" w:rsidP="00F96465">
      <w:pPr>
        <w:pStyle w:val="a7"/>
        <w:numPr>
          <w:ilvl w:val="0"/>
          <w:numId w:val="10"/>
        </w:numPr>
        <w:jc w:val="both"/>
        <w:rPr>
          <w:lang w:val="en-US"/>
        </w:rPr>
      </w:pPr>
      <w:r w:rsidRPr="00C83695">
        <w:rPr>
          <w:rFonts w:ascii="Source Sans Pro" w:hAnsi="Source Sans Pro"/>
          <w:sz w:val="24"/>
          <w:szCs w:val="24"/>
          <w:lang w:val="en-US"/>
        </w:rPr>
        <w:t>As of 2018, total HNWI</w:t>
      </w:r>
      <w:r w:rsidRPr="00C83695">
        <w:rPr>
          <w:sz w:val="24"/>
          <w:szCs w:val="24"/>
          <w:lang w:val="en-US"/>
        </w:rPr>
        <w:t xml:space="preserve"> </w:t>
      </w:r>
      <w:r w:rsidRPr="000B66E9">
        <w:rPr>
          <w:sz w:val="24"/>
          <w:szCs w:val="24"/>
          <w:lang w:val="en-US"/>
        </w:rPr>
        <w:t>(</w:t>
      </w:r>
      <w:r>
        <w:rPr>
          <w:rFonts w:ascii="Source Sans Pro" w:hAnsi="Source Sans Pro"/>
          <w:lang w:val="en-US"/>
        </w:rPr>
        <w:t>High Net Worth I</w:t>
      </w:r>
      <w:r w:rsidRPr="000B66E9">
        <w:rPr>
          <w:rFonts w:ascii="Source Sans Pro" w:hAnsi="Source Sans Pro"/>
          <w:lang w:val="en-US"/>
        </w:rPr>
        <w:t>ndividuals</w:t>
      </w:r>
      <w:r>
        <w:rPr>
          <w:rFonts w:ascii="Source Sans Pro" w:hAnsi="Source Sans Pro"/>
          <w:lang w:val="en-US"/>
        </w:rPr>
        <w:t>)</w:t>
      </w:r>
      <w:r w:rsidRPr="00C83695">
        <w:rPr>
          <w:rFonts w:ascii="Source Sans Pro" w:hAnsi="Source Sans Pro"/>
          <w:sz w:val="24"/>
          <w:szCs w:val="24"/>
          <w:lang w:val="en-US"/>
        </w:rPr>
        <w:t xml:space="preserve"> wealth worldwide amounted to US $70 trillion.</w:t>
      </w:r>
      <w:r w:rsidRPr="00C83695">
        <w:rPr>
          <w:sz w:val="24"/>
          <w:szCs w:val="24"/>
          <w:lang w:val="en-US"/>
        </w:rPr>
        <w:t xml:space="preserve"> </w:t>
      </w:r>
      <w:r w:rsidRPr="00362369">
        <w:rPr>
          <w:rFonts w:ascii="Source Sans Pro" w:hAnsi="Source Sans Pro"/>
          <w:sz w:val="24"/>
          <w:szCs w:val="24"/>
          <w:lang w:val="en-US"/>
        </w:rPr>
        <w:t>India has </w:t>
      </w:r>
      <w:r w:rsidRPr="00362369">
        <w:rPr>
          <w:rFonts w:ascii="Source Sans Pro" w:hAnsi="Source Sans Pro"/>
          <w:b/>
          <w:bCs/>
          <w:sz w:val="24"/>
          <w:szCs w:val="24"/>
          <w:bdr w:val="none" w:sz="0" w:space="0" w:color="auto" w:frame="1"/>
          <w:lang w:val="en-US"/>
        </w:rPr>
        <w:t>218,600</w:t>
      </w:r>
      <w:r w:rsidRPr="00362369">
        <w:rPr>
          <w:rFonts w:ascii="Source Sans Pro" w:hAnsi="Source Sans Pro"/>
          <w:sz w:val="24"/>
          <w:szCs w:val="24"/>
          <w:lang w:val="en-US"/>
        </w:rPr>
        <w:t> HNWIs, who collectively control </w:t>
      </w:r>
      <w:r w:rsidRPr="00362369">
        <w:rPr>
          <w:rFonts w:ascii="Source Sans Pro" w:hAnsi="Source Sans Pro"/>
          <w:b/>
          <w:bCs/>
          <w:sz w:val="24"/>
          <w:szCs w:val="24"/>
          <w:bdr w:val="none" w:sz="0" w:space="0" w:color="auto" w:frame="1"/>
          <w:lang w:val="en-US"/>
        </w:rPr>
        <w:t>US $877 billion</w:t>
      </w:r>
      <w:r w:rsidRPr="00C83695">
        <w:rPr>
          <w:rFonts w:ascii="Source Sans Pro" w:hAnsi="Source Sans Pro"/>
          <w:sz w:val="24"/>
          <w:szCs w:val="24"/>
          <w:lang w:val="en-US"/>
        </w:rPr>
        <w:t xml:space="preserve">. </w:t>
      </w:r>
    </w:p>
    <w:p w14:paraId="1A7673CD" w14:textId="77777777" w:rsidR="00F96465" w:rsidRPr="00DE3E74" w:rsidRDefault="00F96465" w:rsidP="00F96465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DE3E74">
        <w:rPr>
          <w:rFonts w:ascii="Source Sans Pro" w:hAnsi="Source Sans Pro"/>
          <w:sz w:val="24"/>
          <w:szCs w:val="24"/>
          <w:lang w:val="en-US"/>
        </w:rPr>
        <w:t>As of 2017, more than </w:t>
      </w:r>
      <w:r w:rsidRPr="00DE3E74">
        <w:rPr>
          <w:sz w:val="24"/>
          <w:szCs w:val="24"/>
          <w:lang w:val="en-US"/>
        </w:rPr>
        <w:t xml:space="preserve">17 </w:t>
      </w:r>
      <w:r w:rsidRPr="00DE3E74">
        <w:rPr>
          <w:rFonts w:ascii="Source Sans Pro" w:hAnsi="Source Sans Pro"/>
          <w:sz w:val="24"/>
          <w:szCs w:val="24"/>
          <w:lang w:val="en-US"/>
        </w:rPr>
        <w:t>million Indian immigrants were residing abroad.</w:t>
      </w:r>
    </w:p>
    <w:p w14:paraId="4D454D06" w14:textId="77777777" w:rsidR="00F96465" w:rsidRPr="000B66E9" w:rsidRDefault="00F96465" w:rsidP="00F96465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0B66E9">
        <w:rPr>
          <w:rFonts w:ascii="Source Sans Pro" w:hAnsi="Source Sans Pro"/>
          <w:sz w:val="24"/>
          <w:szCs w:val="24"/>
          <w:lang w:val="en-US"/>
        </w:rPr>
        <w:t>Indians favor the UAE as an immigration destination. More than 3.5 million Indian nationals reside in the Emirates.</w:t>
      </w:r>
    </w:p>
    <w:p w14:paraId="76A8B8F1" w14:textId="77777777" w:rsidR="00F96465" w:rsidRPr="000B66E9" w:rsidRDefault="00F96465" w:rsidP="00F96465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0B66E9">
        <w:rPr>
          <w:rFonts w:ascii="Source Sans Pro" w:hAnsi="Source Sans Pro"/>
          <w:sz w:val="24"/>
          <w:szCs w:val="24"/>
          <w:lang w:val="en-US"/>
        </w:rPr>
        <w:t>2 million Indian immigrants reside in the USA.</w:t>
      </w:r>
    </w:p>
    <w:p w14:paraId="41CBE69E" w14:textId="77777777" w:rsidR="00F96465" w:rsidRPr="000B66E9" w:rsidRDefault="00F96465" w:rsidP="00F96465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0B66E9">
        <w:rPr>
          <w:rFonts w:ascii="Source Sans Pro" w:hAnsi="Source Sans Pro"/>
          <w:sz w:val="24"/>
          <w:szCs w:val="24"/>
          <w:lang w:val="en-US"/>
        </w:rPr>
        <w:lastRenderedPageBreak/>
        <w:t>In 2013-2014, Indians invested more than US $5.8 billion in residential properties in the USA.</w:t>
      </w:r>
    </w:p>
    <w:p w14:paraId="465B18FC" w14:textId="77777777" w:rsidR="00F96465" w:rsidRPr="000B66E9" w:rsidRDefault="00F96465" w:rsidP="00F96465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0B66E9">
        <w:rPr>
          <w:rFonts w:ascii="Source Sans Pro" w:hAnsi="Source Sans Pro"/>
          <w:sz w:val="24"/>
          <w:szCs w:val="24"/>
          <w:lang w:val="en-US"/>
        </w:rPr>
        <w:t>Indians prefer property investments in Singapore, New York, Dubai, and London.</w:t>
      </w:r>
    </w:p>
    <w:p w14:paraId="6389BE4C" w14:textId="7774139E" w:rsidR="00B31A56" w:rsidRPr="00B31A56" w:rsidRDefault="00F96465" w:rsidP="00B31A56">
      <w:pPr>
        <w:pStyle w:val="a7"/>
        <w:numPr>
          <w:ilvl w:val="0"/>
          <w:numId w:val="10"/>
        </w:numPr>
        <w:jc w:val="both"/>
        <w:rPr>
          <w:rFonts w:ascii="Source Sans Pro" w:hAnsi="Source Sans Pro"/>
          <w:sz w:val="24"/>
          <w:szCs w:val="24"/>
          <w:lang w:val="en-US"/>
        </w:rPr>
      </w:pPr>
      <w:r w:rsidRPr="000B66E9">
        <w:rPr>
          <w:rFonts w:ascii="Source Sans Pro" w:hAnsi="Source Sans Pro"/>
          <w:sz w:val="24"/>
          <w:szCs w:val="24"/>
          <w:lang w:val="en-US"/>
        </w:rPr>
        <w:t>In London, of buyers of properties worth US $1 million or more, 3% are Indian nationals.</w:t>
      </w:r>
    </w:p>
    <w:p w14:paraId="10830862" w14:textId="77777777" w:rsidR="00B31A56" w:rsidRDefault="00B31A56" w:rsidP="00B31A56">
      <w:pPr>
        <w:jc w:val="both"/>
        <w:rPr>
          <w:rFonts w:ascii="Source Sans Pro" w:eastAsia="Times New Roman" w:hAnsi="Source Sans Pro"/>
          <w:color w:val="auto"/>
          <w:lang w:val="en-US"/>
        </w:rPr>
      </w:pPr>
    </w:p>
    <w:p w14:paraId="319E7526" w14:textId="56039D89" w:rsidR="00F96465" w:rsidRPr="00EE55E3" w:rsidRDefault="00EE55E3" w:rsidP="00F96465">
      <w:pPr>
        <w:jc w:val="both"/>
        <w:rPr>
          <w:rFonts w:asciiTheme="minorHAnsi" w:eastAsia="Times New Roman" w:hAnsiTheme="minorHAnsi" w:cstheme="minorHAnsi"/>
        </w:rPr>
      </w:pPr>
      <w:r>
        <w:rPr>
          <w:rFonts w:ascii="Source Sans Pro" w:eastAsia="Times New Roman" w:hAnsi="Source Sans Pro"/>
          <w:color w:val="auto"/>
          <w:lang w:val="en-US"/>
        </w:rPr>
        <w:t>The conference</w:t>
      </w:r>
      <w:r w:rsidR="001A59E9" w:rsidRPr="00690D3C">
        <w:rPr>
          <w:rFonts w:ascii="Source Sans Pro" w:eastAsia="Times New Roman" w:hAnsi="Source Sans Pro"/>
          <w:color w:val="auto"/>
          <w:lang w:val="en-US"/>
        </w:rPr>
        <w:t xml:space="preserve"> cover</w:t>
      </w:r>
      <w:r>
        <w:rPr>
          <w:rFonts w:ascii="Source Sans Pro" w:eastAsia="Times New Roman" w:hAnsi="Source Sans Pro"/>
          <w:color w:val="auto"/>
          <w:lang w:val="en-US"/>
        </w:rPr>
        <w:t>ed</w:t>
      </w:r>
      <w:r w:rsidR="001A59E9" w:rsidRPr="00690D3C">
        <w:rPr>
          <w:rFonts w:ascii="Source Sans Pro" w:eastAsia="Times New Roman" w:hAnsi="Source Sans Pro"/>
          <w:color w:val="auto"/>
          <w:lang w:val="en-US"/>
        </w:rPr>
        <w:t xml:space="preserve"> a range of topics</w:t>
      </w:r>
      <w:r w:rsidR="00690D3C">
        <w:rPr>
          <w:rFonts w:ascii="Source Sans Pro" w:eastAsia="Times New Roman" w:hAnsi="Source Sans Pro"/>
          <w:color w:val="auto"/>
          <w:lang w:val="en-US"/>
        </w:rPr>
        <w:t>,</w:t>
      </w:r>
      <w:r w:rsidR="001A59E9" w:rsidRPr="00690D3C">
        <w:rPr>
          <w:rFonts w:ascii="Source Sans Pro" w:eastAsia="Times New Roman" w:hAnsi="Source Sans Pro"/>
          <w:color w:val="auto"/>
          <w:lang w:val="en-US"/>
        </w:rPr>
        <w:t xml:space="preserve"> including </w:t>
      </w:r>
      <w:r w:rsidR="00B31A56" w:rsidRPr="00690D3C">
        <w:rPr>
          <w:rFonts w:ascii="Source Sans Pro" w:eastAsia="Times New Roman" w:hAnsi="Source Sans Pro"/>
          <w:color w:val="auto"/>
          <w:lang w:val="en-US"/>
        </w:rPr>
        <w:t xml:space="preserve">immigration, </w:t>
      </w:r>
      <w:r w:rsidR="00B31A56" w:rsidRPr="00690D3C">
        <w:rPr>
          <w:rFonts w:ascii="Source Sans Pro" w:eastAsia="Times New Roman" w:hAnsi="Source Sans Pro" w:cstheme="minorHAnsi"/>
          <w:lang w:val="en-US"/>
        </w:rPr>
        <w:t xml:space="preserve">acquisition of </w:t>
      </w:r>
      <w:r w:rsidR="00167A83" w:rsidRPr="00690D3C">
        <w:rPr>
          <w:rFonts w:ascii="Source Sans Pro" w:eastAsia="Times New Roman" w:hAnsi="Source Sans Pro" w:cstheme="minorHAnsi"/>
          <w:lang w:val="en-US"/>
        </w:rPr>
        <w:t>upmarket</w:t>
      </w:r>
      <w:r w:rsidR="00B31A56" w:rsidRPr="00690D3C">
        <w:rPr>
          <w:rFonts w:ascii="Source Sans Pro" w:eastAsia="Times New Roman" w:hAnsi="Source Sans Pro" w:cstheme="minorHAnsi"/>
          <w:lang w:val="en-US"/>
        </w:rPr>
        <w:t xml:space="preserve"> real estate </w:t>
      </w:r>
      <w:r w:rsidR="00167A83" w:rsidRPr="00690D3C">
        <w:rPr>
          <w:rFonts w:ascii="Source Sans Pro" w:eastAsia="Times New Roman" w:hAnsi="Source Sans Pro" w:cstheme="minorHAnsi"/>
          <w:lang w:val="en-US"/>
        </w:rPr>
        <w:t>overseas</w:t>
      </w:r>
      <w:r w:rsidR="002332ED" w:rsidRPr="00690D3C">
        <w:rPr>
          <w:rFonts w:ascii="Source Sans Pro" w:eastAsia="Times New Roman" w:hAnsi="Source Sans Pro" w:cstheme="minorHAnsi"/>
          <w:lang w:val="en-US"/>
        </w:rPr>
        <w:t>,</w:t>
      </w:r>
      <w:r w:rsidR="00B31A56" w:rsidRPr="00690D3C">
        <w:rPr>
          <w:rFonts w:ascii="Source Sans Pro" w:eastAsia="Times New Roman" w:hAnsi="Source Sans Pro" w:cstheme="minorHAnsi"/>
          <w:lang w:val="en-US"/>
        </w:rPr>
        <w:t xml:space="preserve"> and personal financial consulting. </w:t>
      </w:r>
      <w:r w:rsidR="002332ED" w:rsidRPr="00690D3C">
        <w:rPr>
          <w:rFonts w:ascii="Source Sans Pro" w:eastAsia="Times New Roman" w:hAnsi="Source Sans Pro" w:cstheme="minorHAnsi"/>
          <w:lang w:val="en-US"/>
        </w:rPr>
        <w:t>Attendees</w:t>
      </w:r>
      <w:r w:rsidR="00B31A56" w:rsidRPr="00690D3C">
        <w:rPr>
          <w:rFonts w:ascii="Source Sans Pro" w:eastAsia="Times New Roman" w:hAnsi="Source Sans Pro" w:cstheme="minorHAnsi"/>
          <w:lang w:val="en-US"/>
        </w:rPr>
        <w:t xml:space="preserve"> </w:t>
      </w:r>
      <w:r>
        <w:rPr>
          <w:rFonts w:ascii="Source Sans Pro" w:eastAsia="Times New Roman" w:hAnsi="Source Sans Pro" w:cstheme="minorHAnsi"/>
          <w:lang w:val="en-US"/>
        </w:rPr>
        <w:t>had</w:t>
      </w:r>
      <w:r w:rsidR="00B31A56" w:rsidRPr="00690D3C">
        <w:rPr>
          <w:rFonts w:ascii="Source Sans Pro" w:eastAsia="Times New Roman" w:hAnsi="Source Sans Pro" w:cstheme="minorHAnsi"/>
          <w:lang w:val="en-US"/>
        </w:rPr>
        <w:t xml:space="preserve"> the opportunity to </w:t>
      </w:r>
      <w:r w:rsidR="00012E9D" w:rsidRPr="00690D3C">
        <w:rPr>
          <w:rFonts w:ascii="Source Sans Pro" w:eastAsia="Times New Roman" w:hAnsi="Source Sans Pro" w:cstheme="minorHAnsi"/>
          <w:lang w:val="en-US"/>
        </w:rPr>
        <w:t>get</w:t>
      </w:r>
      <w:r w:rsidR="001A59E9" w:rsidRPr="00690D3C">
        <w:rPr>
          <w:rFonts w:ascii="Source Sans Pro" w:eastAsia="Times New Roman" w:hAnsi="Source Sans Pro" w:cstheme="minorHAnsi"/>
          <w:lang w:val="en-US"/>
        </w:rPr>
        <w:t xml:space="preserve"> their questions answered by </w:t>
      </w:r>
      <w:r w:rsidR="00B31A56" w:rsidRPr="00690D3C">
        <w:rPr>
          <w:rFonts w:ascii="Source Sans Pro" w:eastAsia="Times New Roman" w:hAnsi="Source Sans Pro" w:cstheme="minorHAnsi"/>
          <w:lang w:val="en-US"/>
        </w:rPr>
        <w:t>our professional partners</w:t>
      </w:r>
      <w:r w:rsidR="001A59E9" w:rsidRPr="00690D3C">
        <w:rPr>
          <w:rFonts w:ascii="Source Sans Pro" w:eastAsia="Times New Roman" w:hAnsi="Source Sans Pro" w:cstheme="minorHAnsi"/>
          <w:lang w:val="en-US"/>
        </w:rPr>
        <w:t xml:space="preserve"> and </w:t>
      </w:r>
      <w:r w:rsidR="00012E9D" w:rsidRPr="00690D3C">
        <w:rPr>
          <w:rFonts w:ascii="Source Sans Pro" w:eastAsia="Times New Roman" w:hAnsi="Source Sans Pro" w:cstheme="minorHAnsi"/>
          <w:lang w:val="en-US"/>
        </w:rPr>
        <w:t>receive</w:t>
      </w:r>
      <w:r w:rsidR="001A59E9" w:rsidRPr="00690D3C">
        <w:rPr>
          <w:rFonts w:ascii="Source Sans Pro" w:eastAsia="Times New Roman" w:hAnsi="Source Sans Pro" w:cstheme="minorHAnsi"/>
          <w:lang w:val="en-US"/>
        </w:rPr>
        <w:t xml:space="preserve"> bespoke advice from acknowledged and reputable industry experts</w:t>
      </w:r>
      <w:r w:rsidR="00B31A56" w:rsidRPr="00690D3C">
        <w:rPr>
          <w:rFonts w:ascii="Source Sans Pro" w:eastAsia="Times New Roman" w:hAnsi="Source Sans Pro" w:cstheme="minorHAnsi"/>
          <w:lang w:val="en-US"/>
        </w:rPr>
        <w:t>.</w:t>
      </w:r>
      <w:r w:rsidR="00B31A56">
        <w:rPr>
          <w:rFonts w:ascii="Source Sans Pro" w:eastAsia="Times New Roman" w:hAnsi="Source Sans Pro" w:cstheme="minorHAnsi"/>
          <w:lang w:val="en-US"/>
        </w:rPr>
        <w:t xml:space="preserve"> </w:t>
      </w:r>
    </w:p>
    <w:p w14:paraId="7FF8EF18" w14:textId="1C193B44" w:rsidR="00510F5B" w:rsidRDefault="00510F5B" w:rsidP="00F96465">
      <w:pPr>
        <w:jc w:val="both"/>
        <w:rPr>
          <w:rFonts w:ascii="Source Sans Pro" w:eastAsia="Times New Roman" w:hAnsi="Source Sans Pro" w:cs="Times New Roman"/>
          <w:b/>
          <w:color w:val="auto"/>
          <w:lang w:val="en-US"/>
        </w:rPr>
      </w:pPr>
      <w:bookmarkStart w:id="1" w:name="_30j0zll" w:colFirst="0" w:colLast="0"/>
      <w:bookmarkEnd w:id="1"/>
    </w:p>
    <w:p w14:paraId="078EC2BF" w14:textId="7BEC5BEE" w:rsidR="00943649" w:rsidRPr="00F16D1C" w:rsidRDefault="003B7DEC" w:rsidP="00F96465">
      <w:pPr>
        <w:jc w:val="both"/>
        <w:rPr>
          <w:rFonts w:ascii="Source Sans Pro" w:eastAsia="Times New Roman" w:hAnsi="Source Sans Pro" w:cs="Times New Roman"/>
          <w:b/>
          <w:color w:val="auto"/>
          <w:lang w:val="en-US"/>
        </w:rPr>
      </w:pPr>
      <w:r w:rsidRPr="000D1E40">
        <w:rPr>
          <w:rFonts w:ascii="Source Sans Pro" w:eastAsia="Times New Roman" w:hAnsi="Source Sans Pro" w:cs="Times New Roman"/>
          <w:b/>
          <w:color w:val="auto"/>
          <w:lang w:val="en-US"/>
        </w:rPr>
        <w:t xml:space="preserve">Please follow </w:t>
      </w:r>
      <w:hyperlink r:id="rId9" w:history="1">
        <w:r w:rsidRPr="007907CA">
          <w:rPr>
            <w:rStyle w:val="a8"/>
            <w:rFonts w:ascii="Source Sans Pro" w:eastAsia="Times New Roman" w:hAnsi="Source Sans Pro" w:cs="Times New Roman"/>
            <w:b/>
            <w:lang w:val="en-US"/>
          </w:rPr>
          <w:t>the link</w:t>
        </w:r>
      </w:hyperlink>
      <w:r w:rsidRPr="000D1E40">
        <w:rPr>
          <w:rFonts w:ascii="Source Sans Pro" w:eastAsia="Times New Roman" w:hAnsi="Source Sans Pro" w:cs="Times New Roman"/>
          <w:b/>
          <w:color w:val="auto"/>
          <w:lang w:val="en-US"/>
        </w:rPr>
        <w:t xml:space="preserve"> to v</w:t>
      </w:r>
      <w:r w:rsidR="001A59E9">
        <w:rPr>
          <w:rFonts w:ascii="Source Sans Pro" w:eastAsia="Times New Roman" w:hAnsi="Source Sans Pro" w:cs="Times New Roman"/>
          <w:b/>
          <w:color w:val="auto"/>
          <w:lang w:val="en-US"/>
        </w:rPr>
        <w:t>iew the photo and video gallery.</w:t>
      </w:r>
    </w:p>
    <w:sectPr w:rsidR="00943649" w:rsidRPr="00F16D1C" w:rsidSect="007369EC">
      <w:headerReference w:type="default" r:id="rId10"/>
      <w:pgSz w:w="11900" w:h="16840"/>
      <w:pgMar w:top="1276" w:right="1440" w:bottom="1440" w:left="101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9DBD" w14:textId="77777777" w:rsidR="00FC7396" w:rsidRDefault="00FC7396">
      <w:r>
        <w:separator/>
      </w:r>
    </w:p>
  </w:endnote>
  <w:endnote w:type="continuationSeparator" w:id="0">
    <w:p w14:paraId="278CC3D1" w14:textId="77777777" w:rsidR="00FC7396" w:rsidRDefault="00F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D55E" w14:textId="77777777" w:rsidR="00FC7396" w:rsidRDefault="00FC7396">
      <w:r>
        <w:separator/>
      </w:r>
    </w:p>
  </w:footnote>
  <w:footnote w:type="continuationSeparator" w:id="0">
    <w:p w14:paraId="7803D9F3" w14:textId="77777777" w:rsidR="00FC7396" w:rsidRDefault="00F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5E07" w14:textId="5BC1C338" w:rsidR="00943649" w:rsidRDefault="00D732E4">
    <w:pPr>
      <w:tabs>
        <w:tab w:val="center" w:pos="4677"/>
        <w:tab w:val="right" w:pos="9355"/>
      </w:tabs>
      <w:spacing w:before="708"/>
    </w:pPr>
    <w:r w:rsidRPr="00D732E4">
      <w:rPr>
        <w:rFonts w:asciiTheme="minorHAnsi" w:hAnsiTheme="minorHAnsi" w:cstheme="minorHAnsi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336B1209" wp14:editId="533ABB5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943725" cy="1540510"/>
          <wp:effectExtent l="0" t="0" r="9525" b="2540"/>
          <wp:wrapTopAndBottom/>
          <wp:docPr id="1" name="Рисунок 1" descr="https://lh6.googleusercontent.com/fHew3KrofLqLq6AzGnh6BzXbjrZyP6L5PU3V-pmM4K1-AsQgAyuFcIY9ipebhMNnGY55KcKAD8vrXGLpKMg_RGBE1bBsH82v2bfg1kvgJmtW1RsC_C18yOyXzorgRuxBiKF3RxiuuMRyvF0n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Hew3KrofLqLq6AzGnh6BzXbjrZyP6L5PU3V-pmM4K1-AsQgAyuFcIY9ipebhMNnGY55KcKAD8vrXGLpKMg_RGBE1bBsH82v2bfg1kvgJmtW1RsC_C18yOyXzorgRuxBiKF3RxiuuMRyvF0n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B43"/>
    <w:multiLevelType w:val="multilevel"/>
    <w:tmpl w:val="7604FAF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221A6E6C"/>
    <w:multiLevelType w:val="hybridMultilevel"/>
    <w:tmpl w:val="05D2B498"/>
    <w:lvl w:ilvl="0" w:tplc="CC8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11C4"/>
    <w:multiLevelType w:val="multilevel"/>
    <w:tmpl w:val="8CF4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1002"/>
    <w:multiLevelType w:val="multilevel"/>
    <w:tmpl w:val="99F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91614"/>
    <w:multiLevelType w:val="multilevel"/>
    <w:tmpl w:val="79CA9D7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 w15:restartNumberingAfterBreak="0">
    <w:nsid w:val="5BE059C8"/>
    <w:multiLevelType w:val="hybridMultilevel"/>
    <w:tmpl w:val="8338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4D26"/>
    <w:multiLevelType w:val="hybridMultilevel"/>
    <w:tmpl w:val="F12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B1A4E"/>
    <w:multiLevelType w:val="hybridMultilevel"/>
    <w:tmpl w:val="A75631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753CCC"/>
    <w:multiLevelType w:val="multilevel"/>
    <w:tmpl w:val="398E7CF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9"/>
    <w:rsid w:val="00012E9D"/>
    <w:rsid w:val="000135EA"/>
    <w:rsid w:val="00021DB0"/>
    <w:rsid w:val="00056D6A"/>
    <w:rsid w:val="000614F0"/>
    <w:rsid w:val="0007555B"/>
    <w:rsid w:val="000B4DBC"/>
    <w:rsid w:val="000B66E9"/>
    <w:rsid w:val="000C21D1"/>
    <w:rsid w:val="000D1E40"/>
    <w:rsid w:val="001022BC"/>
    <w:rsid w:val="00130DD9"/>
    <w:rsid w:val="00134DB7"/>
    <w:rsid w:val="00146E44"/>
    <w:rsid w:val="00167A83"/>
    <w:rsid w:val="00171C5D"/>
    <w:rsid w:val="00186B15"/>
    <w:rsid w:val="001A59E9"/>
    <w:rsid w:val="001E1F97"/>
    <w:rsid w:val="001F55F5"/>
    <w:rsid w:val="002332ED"/>
    <w:rsid w:val="0023478B"/>
    <w:rsid w:val="002508A4"/>
    <w:rsid w:val="002B3AD1"/>
    <w:rsid w:val="002E5004"/>
    <w:rsid w:val="003201F9"/>
    <w:rsid w:val="00324379"/>
    <w:rsid w:val="00344823"/>
    <w:rsid w:val="00361543"/>
    <w:rsid w:val="00362369"/>
    <w:rsid w:val="003A7C05"/>
    <w:rsid w:val="003B7DEC"/>
    <w:rsid w:val="003E2EBA"/>
    <w:rsid w:val="003F2E40"/>
    <w:rsid w:val="00406840"/>
    <w:rsid w:val="00413041"/>
    <w:rsid w:val="004A0E3F"/>
    <w:rsid w:val="004C5113"/>
    <w:rsid w:val="004E3F5E"/>
    <w:rsid w:val="00510F5B"/>
    <w:rsid w:val="00551192"/>
    <w:rsid w:val="00555296"/>
    <w:rsid w:val="00600CC0"/>
    <w:rsid w:val="0060508A"/>
    <w:rsid w:val="00690D3C"/>
    <w:rsid w:val="006A76D6"/>
    <w:rsid w:val="006F45E3"/>
    <w:rsid w:val="006F62C5"/>
    <w:rsid w:val="007369EC"/>
    <w:rsid w:val="007612BA"/>
    <w:rsid w:val="007907CA"/>
    <w:rsid w:val="007941AE"/>
    <w:rsid w:val="007A3C90"/>
    <w:rsid w:val="007A5E46"/>
    <w:rsid w:val="007C66EF"/>
    <w:rsid w:val="007D75BE"/>
    <w:rsid w:val="00864105"/>
    <w:rsid w:val="00881BF0"/>
    <w:rsid w:val="008A142B"/>
    <w:rsid w:val="008A3A46"/>
    <w:rsid w:val="008D3DDE"/>
    <w:rsid w:val="008D5AC6"/>
    <w:rsid w:val="00915ED8"/>
    <w:rsid w:val="009369ED"/>
    <w:rsid w:val="009376D2"/>
    <w:rsid w:val="00943649"/>
    <w:rsid w:val="009742EE"/>
    <w:rsid w:val="009B28F5"/>
    <w:rsid w:val="009E343C"/>
    <w:rsid w:val="009E66E7"/>
    <w:rsid w:val="00A008D2"/>
    <w:rsid w:val="00A45201"/>
    <w:rsid w:val="00A66541"/>
    <w:rsid w:val="00A730CE"/>
    <w:rsid w:val="00A7623D"/>
    <w:rsid w:val="00AB6963"/>
    <w:rsid w:val="00AD4374"/>
    <w:rsid w:val="00AE02AA"/>
    <w:rsid w:val="00B31A56"/>
    <w:rsid w:val="00B4311D"/>
    <w:rsid w:val="00B51294"/>
    <w:rsid w:val="00B90743"/>
    <w:rsid w:val="00BA601B"/>
    <w:rsid w:val="00BF47FC"/>
    <w:rsid w:val="00C13069"/>
    <w:rsid w:val="00C150C8"/>
    <w:rsid w:val="00C83695"/>
    <w:rsid w:val="00C95D5F"/>
    <w:rsid w:val="00CD12DB"/>
    <w:rsid w:val="00CF2E3F"/>
    <w:rsid w:val="00D02223"/>
    <w:rsid w:val="00D2440E"/>
    <w:rsid w:val="00D304CB"/>
    <w:rsid w:val="00D41A24"/>
    <w:rsid w:val="00D41DDB"/>
    <w:rsid w:val="00D5500E"/>
    <w:rsid w:val="00D732E4"/>
    <w:rsid w:val="00D77C5C"/>
    <w:rsid w:val="00DD4AFB"/>
    <w:rsid w:val="00DE37CE"/>
    <w:rsid w:val="00DE3E74"/>
    <w:rsid w:val="00DF23E4"/>
    <w:rsid w:val="00E0526B"/>
    <w:rsid w:val="00E82E77"/>
    <w:rsid w:val="00E87369"/>
    <w:rsid w:val="00EB2E13"/>
    <w:rsid w:val="00EE55E3"/>
    <w:rsid w:val="00EF319B"/>
    <w:rsid w:val="00F106DD"/>
    <w:rsid w:val="00F16D1C"/>
    <w:rsid w:val="00F31C64"/>
    <w:rsid w:val="00F96465"/>
    <w:rsid w:val="00FC3E63"/>
    <w:rsid w:val="00FC7396"/>
    <w:rsid w:val="00FC74D3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419"/>
  <w15:docId w15:val="{E2B10C94-E28A-42F2-B941-BDB59D42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56D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40E"/>
  </w:style>
  <w:style w:type="paragraph" w:styleId="ab">
    <w:name w:val="footer"/>
    <w:basedOn w:val="a"/>
    <w:link w:val="ac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40E"/>
  </w:style>
  <w:style w:type="character" w:styleId="ad">
    <w:name w:val="FollowedHyperlink"/>
    <w:basedOn w:val="a0"/>
    <w:uiPriority w:val="99"/>
    <w:semiHidden/>
    <w:unhideWhenUsed/>
    <w:rsid w:val="003B7DEC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362369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EE55E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E55E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E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pe.com/en/mumb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lpe.com/en/cannes/our-experi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7141-004F-46AE-8D72-5561D78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Content6</dc:creator>
  <cp:lastModifiedBy>Катерина Винницкая</cp:lastModifiedBy>
  <cp:revision>20</cp:revision>
  <cp:lastPrinted>2018-08-27T08:03:00Z</cp:lastPrinted>
  <dcterms:created xsi:type="dcterms:W3CDTF">2018-09-10T11:04:00Z</dcterms:created>
  <dcterms:modified xsi:type="dcterms:W3CDTF">2019-01-17T13:34:00Z</dcterms:modified>
</cp:coreProperties>
</file>